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4A030">
      <w:pPr>
        <w:spacing w:before="120" w:beforeLines="50" w:after="120" w:afterLines="50"/>
        <w:jc w:val="center"/>
        <w:rPr>
          <w:rFonts w:ascii="黑体" w:hAnsi="宋体" w:eastAsia="黑体" w:cs="黑体"/>
          <w:b/>
          <w:bCs/>
          <w:color w:val="000000"/>
          <w:sz w:val="32"/>
          <w:szCs w:val="32"/>
          <w:lang w:bidi="ar"/>
        </w:rPr>
      </w:pPr>
      <w:bookmarkStart w:id="0" w:name="附件1"/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lang w:bidi="ar"/>
        </w:rPr>
        <w:t>上海师范大学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u w:val="single"/>
          <w:lang w:bidi="ar"/>
        </w:rPr>
        <w:t>数学应用与跨学科实践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u w:val="single"/>
          <w:lang w:val="en-US" w:eastAsia="zh-CN" w:bidi="ar"/>
        </w:rPr>
        <w:t xml:space="preserve">  微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lang w:bidi="ar"/>
        </w:rPr>
        <w:t>专业招生计划</w:t>
      </w:r>
    </w:p>
    <w:tbl>
      <w:tblPr>
        <w:tblStyle w:val="7"/>
        <w:tblW w:w="971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115"/>
        <w:gridCol w:w="1095"/>
        <w:gridCol w:w="357"/>
        <w:gridCol w:w="1473"/>
        <w:gridCol w:w="690"/>
        <w:gridCol w:w="1136"/>
        <w:gridCol w:w="1664"/>
      </w:tblGrid>
      <w:tr w14:paraId="7730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22EC2F45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学院</w:t>
            </w:r>
          </w:p>
        </w:tc>
        <w:tc>
          <w:tcPr>
            <w:tcW w:w="3567" w:type="dxa"/>
            <w:gridSpan w:val="3"/>
            <w:shd w:val="clear" w:color="auto" w:fill="auto"/>
            <w:noWrap/>
            <w:vAlign w:val="center"/>
          </w:tcPr>
          <w:p w14:paraId="7FAA0BD9">
            <w:pPr>
              <w:spacing w:before="120" w:beforeLines="50" w:after="120" w:afterLines="5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数理学院</w:t>
            </w:r>
          </w:p>
        </w:tc>
        <w:tc>
          <w:tcPr>
            <w:tcW w:w="1473" w:type="dxa"/>
            <w:shd w:val="clear" w:color="auto" w:fill="3B608D"/>
            <w:noWrap/>
            <w:vAlign w:val="center"/>
          </w:tcPr>
          <w:p w14:paraId="7F8C8336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3490" w:type="dxa"/>
            <w:gridSpan w:val="3"/>
            <w:shd w:val="clear" w:color="auto" w:fill="auto"/>
            <w:noWrap/>
            <w:vAlign w:val="center"/>
          </w:tcPr>
          <w:p w14:paraId="06F21B41">
            <w:pPr>
              <w:spacing w:before="120" w:beforeLines="50" w:after="120" w:afterLines="50"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数学应用与跨学科实践</w:t>
            </w:r>
          </w:p>
        </w:tc>
      </w:tr>
      <w:tr w14:paraId="3599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0A83B2C4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报名与修读要求</w:t>
            </w:r>
          </w:p>
        </w:tc>
        <w:tc>
          <w:tcPr>
            <w:tcW w:w="8530" w:type="dxa"/>
            <w:gridSpan w:val="7"/>
            <w:shd w:val="clear" w:color="auto" w:fill="auto"/>
            <w:noWrap/>
            <w:vAlign w:val="center"/>
          </w:tcPr>
          <w:p w14:paraId="1EC4A36C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面向我校的全日制大三，主修专业学有余力，有高等数学学习经历，对数学与跨学科教学感兴趣。</w:t>
            </w:r>
            <w:bookmarkStart w:id="10" w:name="_GoBack"/>
            <w:bookmarkEnd w:id="10"/>
          </w:p>
        </w:tc>
      </w:tr>
      <w:tr w14:paraId="39D2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473D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开设校区与</w:t>
            </w:r>
          </w:p>
          <w:p w14:paraId="644F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Calibri" w:hAnsi="Calibri" w:cs="Calibri"/>
                <w:color w:val="FFFFFF" w:themeColor="background1"/>
                <w:kern w:val="2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招生人数</w:t>
            </w:r>
          </w:p>
        </w:tc>
        <w:tc>
          <w:tcPr>
            <w:tcW w:w="8530" w:type="dxa"/>
            <w:gridSpan w:val="7"/>
            <w:shd w:val="clear" w:color="auto" w:fill="auto"/>
            <w:noWrap/>
            <w:vAlign w:val="center"/>
          </w:tcPr>
          <w:p w14:paraId="71E87E96">
            <w:pPr>
              <w:spacing w:before="120" w:beforeLines="50" w:after="120" w:afterLines="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sym w:font="Wingdings 2" w:char="F052"/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徐汇校区  班级数：__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___个  人数：__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__人  班均人数：__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__人/班</w:t>
            </w:r>
          </w:p>
        </w:tc>
      </w:tr>
      <w:tr w14:paraId="6F11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590E63FE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上课时间</w:t>
            </w:r>
          </w:p>
        </w:tc>
        <w:tc>
          <w:tcPr>
            <w:tcW w:w="5730" w:type="dxa"/>
            <w:gridSpan w:val="5"/>
            <w:shd w:val="clear" w:color="auto" w:fill="auto"/>
            <w:noWrap/>
            <w:vAlign w:val="center"/>
          </w:tcPr>
          <w:p w14:paraId="7BDEBC7B">
            <w:pPr>
              <w:spacing w:before="120" w:beforeLines="50" w:after="120" w:afterLines="5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 xml:space="preserve">周五晚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sym w:font="Wingdings 2" w:char="F052"/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 xml:space="preserve">周六全天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周日全天</w:t>
            </w:r>
          </w:p>
        </w:tc>
        <w:tc>
          <w:tcPr>
            <w:tcW w:w="1136" w:type="dxa"/>
            <w:shd w:val="clear" w:color="auto" w:fill="3B608D"/>
            <w:noWrap/>
            <w:vAlign w:val="center"/>
          </w:tcPr>
          <w:p w14:paraId="17F88804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学制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 w14:paraId="4C761B93">
            <w:pPr>
              <w:spacing w:before="120" w:beforeLines="50" w:after="120" w:afterLines="5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u w:val="single"/>
              </w:rPr>
              <w:t>_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_年</w:t>
            </w:r>
          </w:p>
        </w:tc>
      </w:tr>
      <w:tr w14:paraId="4A65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5F072BB0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学分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14:paraId="0F7CA304">
            <w:pPr>
              <w:spacing w:before="120" w:beforeLines="50" w:after="120" w:afterLines="50"/>
              <w:jc w:val="center"/>
              <w:rPr>
                <w:rFonts w:ascii="Calibri" w:hAnsi="Calibri" w:eastAsia="宋体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____学</w:t>
            </w:r>
            <w:r>
              <w:rPr>
                <w:rFonts w:hint="eastAsia" w:ascii="Calibri" w:hAnsi="Calibri" w:eastAsia="宋体" w:cs="Calibri"/>
                <w:color w:val="000000"/>
                <w:kern w:val="2"/>
                <w:sz w:val="22"/>
                <w:szCs w:val="22"/>
              </w:rPr>
              <w:t>分</w:t>
            </w:r>
          </w:p>
        </w:tc>
        <w:tc>
          <w:tcPr>
            <w:tcW w:w="1095" w:type="dxa"/>
            <w:shd w:val="clear" w:color="auto" w:fill="3B608D"/>
            <w:noWrap/>
            <w:vAlign w:val="center"/>
          </w:tcPr>
          <w:p w14:paraId="75BEC729">
            <w:pPr>
              <w:spacing w:before="120" w:beforeLines="50" w:after="120" w:afterLines="50"/>
              <w:jc w:val="center"/>
              <w:rPr>
                <w:rFonts w:ascii="Calibri" w:hAnsi="Calibri" w:eastAsia="宋体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收费标准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14:paraId="001661D1">
            <w:pPr>
              <w:spacing w:before="120" w:beforeLines="50" w:after="120" w:afterLines="50"/>
              <w:jc w:val="center"/>
              <w:rPr>
                <w:rFonts w:ascii="Calibri" w:hAnsi="Calibri" w:eastAsia="宋体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u w:val="single"/>
              </w:rPr>
              <w:t>_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___元/学分</w:t>
            </w:r>
          </w:p>
        </w:tc>
        <w:tc>
          <w:tcPr>
            <w:tcW w:w="1136" w:type="dxa"/>
            <w:shd w:val="clear" w:color="auto" w:fill="3B608D"/>
            <w:noWrap/>
            <w:vAlign w:val="center"/>
          </w:tcPr>
          <w:p w14:paraId="783DCC9A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预计总学费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 w14:paraId="2B0F35CF">
            <w:pPr>
              <w:spacing w:before="120" w:beforeLines="50" w:after="120" w:afterLines="5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_元</w:t>
            </w:r>
          </w:p>
        </w:tc>
      </w:tr>
      <w:tr w14:paraId="2B5A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4631C9AF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教学目标</w:t>
            </w:r>
          </w:p>
        </w:tc>
        <w:tc>
          <w:tcPr>
            <w:tcW w:w="8530" w:type="dxa"/>
            <w:gridSpan w:val="7"/>
            <w:shd w:val="clear" w:color="auto" w:fill="auto"/>
            <w:noWrap/>
            <w:vAlign w:val="center"/>
          </w:tcPr>
          <w:p w14:paraId="6ECE2222">
            <w:pPr>
              <w:spacing w:before="120" w:beforeLines="50" w:after="120" w:afterLines="50" w:line="360" w:lineRule="auto"/>
              <w:ind w:firstLine="440" w:firstLineChars="200"/>
              <w:rPr>
                <w:rFonts w:cs="Calibri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本微专业旨在培养数学应用与跨学科复合型人才，具体通过6门核心课程的递进式教学，实现以下具体目标：</w:t>
            </w:r>
            <w:r>
              <w:rPr>
                <w:rFonts w:cs="Calibri" w:asciiTheme="minorEastAsia" w:hAnsiTheme="minorEastAsia"/>
                <w:color w:val="000000"/>
                <w:sz w:val="22"/>
                <w:szCs w:val="22"/>
              </w:rPr>
              <w:t>1</w:t>
            </w:r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、</w:t>
            </w:r>
            <w:bookmarkStart w:id="1" w:name="OLE_LINK43"/>
            <w:bookmarkStart w:id="2" w:name="OLE_LINK41"/>
            <w:bookmarkStart w:id="3" w:name="OLE_LINK42"/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理解数学价值，熟练掌握大学数学建模的基本方法与工具，利用数学解决实际问题，提升数学建模能力；</w:t>
            </w:r>
            <w:bookmarkEnd w:id="1"/>
            <w:bookmarkEnd w:id="2"/>
            <w:bookmarkEnd w:id="3"/>
            <w:r>
              <w:rPr>
                <w:rFonts w:cs="Calibri" w:asciiTheme="minorEastAsia" w:hAnsiTheme="minorEastAsia"/>
                <w:color w:val="000000"/>
                <w:sz w:val="22"/>
                <w:szCs w:val="22"/>
              </w:rPr>
              <w:t>2</w:t>
            </w:r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、</w:t>
            </w:r>
            <w:bookmarkStart w:id="4" w:name="OLE_LINK44"/>
            <w:bookmarkStart w:id="5" w:name="OLE_LINK45"/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了解数学发展脉络与核心文化内涵，提升数学文化与传播素养，激发数学创意潜能；</w:t>
            </w:r>
            <w:bookmarkEnd w:id="4"/>
            <w:bookmarkEnd w:id="5"/>
            <w:r>
              <w:rPr>
                <w:rFonts w:cs="Calibri" w:asciiTheme="minorEastAsia" w:hAnsiTheme="minorEastAsia"/>
                <w:color w:val="000000"/>
                <w:sz w:val="22"/>
                <w:szCs w:val="22"/>
              </w:rPr>
              <w:t>3</w:t>
            </w:r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、</w:t>
            </w:r>
            <w:bookmarkStart w:id="6" w:name="OLE_LINK46"/>
            <w:bookmarkStart w:id="7" w:name="OLE_LINK47"/>
            <w:r>
              <w:rPr>
                <w:rFonts w:hint="eastAsia" w:cs="Calibri" w:asciiTheme="minorEastAsia" w:hAnsiTheme="minorEastAsia"/>
                <w:color w:val="000000"/>
                <w:sz w:val="22"/>
                <w:szCs w:val="22"/>
              </w:rPr>
              <w:t>理解中学数学建模教学设计逻辑，设计并开展跨学科教学实践，具备将数学与其他学科知识转化为基础教学实践的能力。</w:t>
            </w:r>
            <w:bookmarkEnd w:id="6"/>
            <w:bookmarkEnd w:id="7"/>
          </w:p>
        </w:tc>
      </w:tr>
      <w:tr w14:paraId="51A8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1182" w:type="dxa"/>
            <w:shd w:val="clear" w:color="FFFFFF" w:fill="3B608D"/>
            <w:noWrap/>
            <w:vAlign w:val="center"/>
          </w:tcPr>
          <w:p w14:paraId="71C8B8F0">
            <w:pPr>
              <w:spacing w:before="120" w:beforeLines="50" w:after="120" w:afterLines="5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专业特色与优势</w:t>
            </w:r>
          </w:p>
        </w:tc>
        <w:tc>
          <w:tcPr>
            <w:tcW w:w="8530" w:type="dxa"/>
            <w:gridSpan w:val="7"/>
            <w:shd w:val="clear" w:color="auto" w:fill="auto"/>
            <w:noWrap/>
            <w:vAlign w:val="center"/>
          </w:tcPr>
          <w:p w14:paraId="754F90AC">
            <w:pPr>
              <w:spacing w:before="120" w:beforeLines="50" w:after="120" w:afterLines="50" w:line="360" w:lineRule="auto"/>
              <w:ind w:firstLine="440" w:firstLineChars="2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上海师范大学数学学科1954年建立，1956年开始招收首批本科生。1978年，基础数学与计算数学两个方向开始招收硕士研究生，为学科的后续发展奠定了坚实的基础。计算数学于2000年获得二级学科博士学位授予权。2007年，数学学科获批设立数学博士后流动站，2011年，获批数学一级学科博士点。数学学科拥有一支年龄、职称及知识结构合理，学术思想活跃的学术队伍。现有教师80余人，教授近30人，博士学位率达到100%；其中教育部CJXZ特聘教授1人，教育部CJXZ讲座教授1人，教育部首届“高校优秀青年教师奖”获得者1人，教育部新世纪优秀人才支持计划入选者1人，省部级以上人才计划获得者占比近1/4。“科学与工程问题的高性能计算方法”与“微分方程的理论与应用”两支团队入选上海高水平地方高校创新团队建设计划。数学学科成员曾荣获国家自然科学三等奖、国家教委科技进步甲类一等奖在内的多项省部级以上自然科学奖、科技进步奖、优秀教学研究成果奖，并多次在上海高校青年教师教学竞赛中荣获市级奖项。本学科成员每年发表高质量论文100余篇，目前承担着近40项国家级项目、近20项省部级科研项目。</w:t>
            </w:r>
          </w:p>
        </w:tc>
      </w:tr>
    </w:tbl>
    <w:p w14:paraId="19F06517"/>
    <w:p w14:paraId="74345D94"/>
    <w:p w14:paraId="46CEBCC1"/>
    <w:tbl>
      <w:tblPr>
        <w:tblStyle w:val="7"/>
        <w:tblW w:w="971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2"/>
      </w:tblGrid>
      <w:tr w14:paraId="4081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9712" w:type="dxa"/>
            <w:shd w:val="clear" w:color="FFFFFF" w:fill="3B608D"/>
            <w:noWrap/>
            <w:vAlign w:val="center"/>
          </w:tcPr>
          <w:p w14:paraId="6ED438E2">
            <w:pPr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教学计划表</w:t>
            </w:r>
            <w:r>
              <w:rPr>
                <w:rFonts w:hint="eastAsia" w:ascii="微软雅黑" w:hAnsi="微软雅黑" w:eastAsia="微软雅黑" w:cs="微软雅黑"/>
                <w:color w:val="FFFFFF"/>
                <w:sz w:val="13"/>
                <w:szCs w:val="13"/>
                <w:lang w:bidi="ar"/>
              </w:rPr>
              <w:t>（可粘贴附件3图片）</w:t>
            </w:r>
          </w:p>
        </w:tc>
      </w:tr>
      <w:tr w14:paraId="21EA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9712" w:type="dxa"/>
            <w:shd w:val="clear" w:color="FFFFFF" w:fill="auto"/>
            <w:noWrap/>
            <w:vAlign w:val="center"/>
          </w:tcPr>
          <w:p w14:paraId="59C2E517">
            <w:pPr>
              <w:widowControl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bookmarkStart w:id="8" w:name="_MON_1726918253"/>
            <w:bookmarkEnd w:id="8"/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0" distR="0">
                  <wp:extent cx="5071110" cy="2580640"/>
                  <wp:effectExtent l="0" t="0" r="15240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110" cy="258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A6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9712" w:type="dxa"/>
            <w:shd w:val="clear" w:color="FFFFFF" w:fill="3B608D"/>
            <w:noWrap/>
            <w:vAlign w:val="center"/>
          </w:tcPr>
          <w:p w14:paraId="7C75CC07">
            <w:pPr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bidi="ar"/>
              </w:rPr>
              <w:t>主要课程简介</w:t>
            </w:r>
          </w:p>
        </w:tc>
      </w:tr>
      <w:tr w14:paraId="76ED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right"/>
        </w:trPr>
        <w:tc>
          <w:tcPr>
            <w:tcW w:w="9712" w:type="dxa"/>
            <w:shd w:val="clear" w:color="FFFFFF" w:fill="auto"/>
            <w:noWrap/>
            <w:vAlign w:val="center"/>
          </w:tcPr>
          <w:p w14:paraId="52507E8C">
            <w:pPr>
              <w:widowControl w:val="0"/>
              <w:jc w:val="both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课程名称：数学应用导论</w:t>
            </w:r>
          </w:p>
          <w:p w14:paraId="22C35DB4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课程英文名称：Introduction to mathematical application</w:t>
            </w:r>
          </w:p>
          <w:p w14:paraId="2EDD28DD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预修课程：高等数学</w:t>
            </w:r>
          </w:p>
          <w:p w14:paraId="61F22F21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内容：系统介绍数学在自然科学、社会科学、工程技术、日常生活等领域的应用场景与典型案例，包括数学在数据分析、经济决策、工程设计、人工智能、艺术创作等方面的应用逻辑；讲解数学应用的基本思路与方法，引导学生建立</w:t>
            </w:r>
            <w:bookmarkStart w:id="9" w:name="_Hlk216818209"/>
            <w:r>
              <w:rPr>
                <w:rFonts w:hint="eastAsia" w:ascii="宋体" w:hAnsi="宋体" w:eastAsia="宋体" w:cs="宋体"/>
                <w:sz w:val="22"/>
                <w:szCs w:val="22"/>
              </w:rPr>
              <w:t>“问题—数学转化—求解—应用”</w:t>
            </w:r>
            <w:bookmarkEnd w:id="9"/>
            <w:r>
              <w:rPr>
                <w:rFonts w:hint="eastAsia" w:ascii="宋体" w:hAnsi="宋体" w:eastAsia="宋体" w:cs="宋体"/>
                <w:sz w:val="22"/>
                <w:szCs w:val="22"/>
              </w:rPr>
              <w:t>的思维框架；通过小组讨论、案例分析等形式，培养学生识别身边数学应用的能力，破除“数学抽象难用”的认知误区，为后续课程学习奠定应用认知基础。</w:t>
            </w:r>
          </w:p>
          <w:p w14:paraId="44032643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1698B322">
            <w:pPr>
              <w:widowControl w:val="0"/>
              <w:jc w:val="both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课程名称：大学数学建模</w:t>
            </w:r>
          </w:p>
          <w:p w14:paraId="28A41834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课程英文名称：</w:t>
            </w:r>
          </w:p>
          <w:p w14:paraId="5684ADD9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预修课程：高等数学、数学应用导论</w:t>
            </w:r>
          </w:p>
          <w:p w14:paraId="18695419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内容：数学建模已经成为物理学、电子学和工程技术、经济、人文等不同学科领域必不可少的解决问题工具。本课程讲解大学数学建模的基本理论与核心方法，包括问题分析与假设、模型构建、模型求解、模型检验与改进；介绍常用数学模型类型，如初等模型、规划模型、图论模型、随机性模型、回归模型、微分方程模型等，结合实际案例（如生态环境预测、交通流量优化、产品销量预测）讲解模型的适用场景与构建技巧；教授建模工具（如 MATLAB、Lingo、Python）的基础使用方法，指导学生完成小组建模作业，培养独立建模与团队协作能力。</w:t>
            </w:r>
          </w:p>
          <w:p w14:paraId="726BCAF4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0ED06758">
            <w:pPr>
              <w:widowControl w:val="0"/>
              <w:jc w:val="both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课程名称：数学史与数学文化</w:t>
            </w:r>
          </w:p>
          <w:p w14:paraId="2F2CE78E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课程英文名称：History and </w:t>
            </w:r>
            <w:r>
              <w:rPr>
                <w:rFonts w:ascii="宋体" w:hAnsi="宋体" w:eastAsia="宋体" w:cs="宋体"/>
                <w:sz w:val="22"/>
                <w:szCs w:val="22"/>
              </w:rPr>
              <w:t>culture of mathematics</w:t>
            </w:r>
          </w:p>
          <w:p w14:paraId="182AA724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预修课程：高等数学</w:t>
            </w:r>
          </w:p>
          <w:p w14:paraId="6972594C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内容：梳理数学发展的关键历史阶段与重大突破，包括古代数学（中国、埃及、希腊等）、近代数学、现代数学的核心成果与代表人物；解读数学史上重要定理、公式的发现过程与背后的科学精神；挖掘数学文化的核心内涵，包括数学思维方式、数学美学特征、数学与哲学 / 艺术的关联；通过数学史故事分享、数学文化作品赏析（如数学科普书籍、纪录片）等形式，提升学生的数学文化素养与人文情怀。</w:t>
            </w:r>
          </w:p>
          <w:p w14:paraId="339D6CF7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384F1F3A">
            <w:pPr>
              <w:widowControl w:val="0"/>
              <w:jc w:val="both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课程名称：数学创意工作坊</w:t>
            </w:r>
          </w:p>
          <w:p w14:paraId="2FBC75D1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课程英文名称：Workshop on mathematical creativity</w:t>
            </w:r>
          </w:p>
          <w:p w14:paraId="0A65FBCB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预修课程：高等数学</w:t>
            </w:r>
          </w:p>
          <w:p w14:paraId="55C3AA16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主要内容：以 “实践 + 创意” 为核心，采用工作坊形式开展教学，包括数学创意设计理论讲解（如数学与手工、数学与艺术、数学与游戏的结合逻辑）、创意案例赏析（如数学折纸、数学拼图、数学小游戏设计）；设置分组创意实践任务，指导学生结合自身兴趣（如手工制作、编程、绘画）完成 1 项数学创意作品，如数学主题手账、简单数学益智游戏、数学艺术装置设计等；强调过程性指导，通过小组讨论、导师点评、作品互评等环节，激发学生的数学创意潜能，培养动手实践与创新思维能力。</w:t>
            </w:r>
          </w:p>
          <w:p w14:paraId="3D35BA46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2DFFCD1E">
            <w:pPr>
              <w:widowControl w:val="0"/>
              <w:jc w:val="both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课程名称：中学数学建模教学</w:t>
            </w:r>
          </w:p>
          <w:p w14:paraId="2EE19D74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课程英文名称：Mathematical modeling teaching in the middle school</w:t>
            </w:r>
          </w:p>
          <w:p w14:paraId="421316DA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预修课程：无</w:t>
            </w:r>
          </w:p>
          <w:p w14:paraId="361CB28E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内容：聚焦中学数学建模教学的场景设计与逻辑梳理，包括中学数学建模的教学目标、教学内容选取、教学流程设计；分析中学数学建模的难度梯度与案例适配性，讲解如何将复杂数学模型简化为中学阶段可理解的教学案例；指导学生完成 1 份中学数学建模教学方案设计（含教案、课件），培养数学建模教学设计能力。</w:t>
            </w:r>
          </w:p>
          <w:p w14:paraId="33159D21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1164EC73">
            <w:pPr>
              <w:widowControl w:val="0"/>
              <w:jc w:val="both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课程名称：微格教学</w:t>
            </w:r>
          </w:p>
          <w:p w14:paraId="6B7BAA90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课程英文名称：Microteaching</w:t>
            </w:r>
          </w:p>
          <w:p w14:paraId="298E0748">
            <w:pPr>
              <w:widowControl w:val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预修课程：无</w:t>
            </w:r>
          </w:p>
          <w:p w14:paraId="1D4B83EA">
            <w:pPr>
              <w:widowControl w:val="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内容：系统讲解微格教学的核心概念、基本流程，以及教学目标设计、教学环节拆解、教学方法选择、板书设计、课堂互动等基础教学技能；聚焦数学跨学科应用，采用理论与实践相结合的方式，以小组为单位，开展“研究—设计—实践—反思与再设计”的循环式课例研究，指导学生选取数与代数、图形与几何、统计与概率等领域中的具体知识点，完成10 分钟的微格教学设计与实施，提升数学跨学科教学技能；同时，开展教学反思训练，帮助学生识别教学中的问题并优化改进，提升教学反思与评价能力，为跨专业学生从事师范教学工作奠定基础。</w:t>
            </w:r>
          </w:p>
        </w:tc>
      </w:tr>
      <w:bookmarkEnd w:id="0"/>
    </w:tbl>
    <w:p w14:paraId="259ED516">
      <w:pPr>
        <w:widowControl w:val="0"/>
        <w:spacing w:before="120" w:beforeLines="50"/>
        <w:jc w:val="right"/>
        <w:rPr>
          <w:rFonts w:ascii="宋体" w:hAnsi="宋体" w:eastAsia="宋体" w:cs="宋体"/>
          <w:color w:val="000000"/>
          <w:lang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3E7C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8A3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8A3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874C2">
    <w:pPr>
      <w:pStyle w:val="4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65A853B3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6B359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21CD">
    <w:pPr>
      <w:pStyle w:val="5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8512B6B">
    <w:pPr>
      <w:pStyle w:val="5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2MzE0Nzc1NTUyN7VU0lEKTi0uzszPAykwqgUAI9VfJiwAAAA="/>
    <w:docVar w:name="commondata" w:val="eyJoZGlkIjoiYTE0YzBhZTA0M2MwOTdkMGEyY2VkNWY0ZmZlZTU0NmEifQ=="/>
  </w:docVars>
  <w:rsids>
    <w:rsidRoot w:val="3FC87EC1"/>
    <w:rsid w:val="00053124"/>
    <w:rsid w:val="000C600E"/>
    <w:rsid w:val="001004F5"/>
    <w:rsid w:val="001432F4"/>
    <w:rsid w:val="00192682"/>
    <w:rsid w:val="001C6B8B"/>
    <w:rsid w:val="001E1922"/>
    <w:rsid w:val="002825C1"/>
    <w:rsid w:val="00307E41"/>
    <w:rsid w:val="00335A04"/>
    <w:rsid w:val="0037270A"/>
    <w:rsid w:val="003738E9"/>
    <w:rsid w:val="003F52C9"/>
    <w:rsid w:val="00406495"/>
    <w:rsid w:val="00444AA1"/>
    <w:rsid w:val="004627AD"/>
    <w:rsid w:val="004807BC"/>
    <w:rsid w:val="004E1FD8"/>
    <w:rsid w:val="00543C40"/>
    <w:rsid w:val="00554FFB"/>
    <w:rsid w:val="005C0A80"/>
    <w:rsid w:val="005C6C6A"/>
    <w:rsid w:val="00601107"/>
    <w:rsid w:val="006354C9"/>
    <w:rsid w:val="0067278D"/>
    <w:rsid w:val="006D402D"/>
    <w:rsid w:val="006E71F2"/>
    <w:rsid w:val="006F0303"/>
    <w:rsid w:val="007039C2"/>
    <w:rsid w:val="0073472C"/>
    <w:rsid w:val="007442BC"/>
    <w:rsid w:val="0075497A"/>
    <w:rsid w:val="00765395"/>
    <w:rsid w:val="00773730"/>
    <w:rsid w:val="007E7465"/>
    <w:rsid w:val="007F002D"/>
    <w:rsid w:val="007F34B5"/>
    <w:rsid w:val="00803846"/>
    <w:rsid w:val="00805DCC"/>
    <w:rsid w:val="008C4DB1"/>
    <w:rsid w:val="008C6566"/>
    <w:rsid w:val="008E5EF4"/>
    <w:rsid w:val="00913EF5"/>
    <w:rsid w:val="00992C74"/>
    <w:rsid w:val="009E0291"/>
    <w:rsid w:val="009F6A09"/>
    <w:rsid w:val="00A66A08"/>
    <w:rsid w:val="00A72398"/>
    <w:rsid w:val="00A8119F"/>
    <w:rsid w:val="00AB78E3"/>
    <w:rsid w:val="00AE4FC5"/>
    <w:rsid w:val="00B2345D"/>
    <w:rsid w:val="00B532DE"/>
    <w:rsid w:val="00BD0E26"/>
    <w:rsid w:val="00CA7310"/>
    <w:rsid w:val="00D10F45"/>
    <w:rsid w:val="00D16BAC"/>
    <w:rsid w:val="00D717D3"/>
    <w:rsid w:val="00E028FB"/>
    <w:rsid w:val="00E21250"/>
    <w:rsid w:val="00E70B66"/>
    <w:rsid w:val="00EA0ECF"/>
    <w:rsid w:val="00ED63CF"/>
    <w:rsid w:val="00F70BCA"/>
    <w:rsid w:val="00FB146C"/>
    <w:rsid w:val="00FC21AF"/>
    <w:rsid w:val="03331775"/>
    <w:rsid w:val="035C1B08"/>
    <w:rsid w:val="05804125"/>
    <w:rsid w:val="058B4043"/>
    <w:rsid w:val="073D1349"/>
    <w:rsid w:val="0791651A"/>
    <w:rsid w:val="08314CF2"/>
    <w:rsid w:val="09A731C7"/>
    <w:rsid w:val="0AC35A1D"/>
    <w:rsid w:val="0B1E724C"/>
    <w:rsid w:val="0B6B376F"/>
    <w:rsid w:val="0D8E6DE6"/>
    <w:rsid w:val="0E124B8C"/>
    <w:rsid w:val="0E8B7C28"/>
    <w:rsid w:val="10D51F0A"/>
    <w:rsid w:val="1131447F"/>
    <w:rsid w:val="114510EB"/>
    <w:rsid w:val="11CB081C"/>
    <w:rsid w:val="11FE6880"/>
    <w:rsid w:val="12296A4B"/>
    <w:rsid w:val="12E056F6"/>
    <w:rsid w:val="153F5387"/>
    <w:rsid w:val="169B1E91"/>
    <w:rsid w:val="171E331A"/>
    <w:rsid w:val="17E020C2"/>
    <w:rsid w:val="19FF7D7C"/>
    <w:rsid w:val="1A0B44BB"/>
    <w:rsid w:val="1B582EE5"/>
    <w:rsid w:val="1C0C6241"/>
    <w:rsid w:val="1C830F82"/>
    <w:rsid w:val="206205A2"/>
    <w:rsid w:val="21B53C68"/>
    <w:rsid w:val="225C6758"/>
    <w:rsid w:val="23A4168B"/>
    <w:rsid w:val="24B225C5"/>
    <w:rsid w:val="25365A7B"/>
    <w:rsid w:val="263445FA"/>
    <w:rsid w:val="28F41DDC"/>
    <w:rsid w:val="29696590"/>
    <w:rsid w:val="296F2ACE"/>
    <w:rsid w:val="2C9B1AC2"/>
    <w:rsid w:val="2CB43819"/>
    <w:rsid w:val="2CC34689"/>
    <w:rsid w:val="2DED4667"/>
    <w:rsid w:val="2FCF258C"/>
    <w:rsid w:val="3091353B"/>
    <w:rsid w:val="341E386A"/>
    <w:rsid w:val="358A39EC"/>
    <w:rsid w:val="37B84B2C"/>
    <w:rsid w:val="39992D98"/>
    <w:rsid w:val="3B6F20B1"/>
    <w:rsid w:val="3CCA5C06"/>
    <w:rsid w:val="3FC574F3"/>
    <w:rsid w:val="3FC87EC1"/>
    <w:rsid w:val="40741335"/>
    <w:rsid w:val="420F02B2"/>
    <w:rsid w:val="44BA6EF2"/>
    <w:rsid w:val="45FE0590"/>
    <w:rsid w:val="472B009D"/>
    <w:rsid w:val="473F2CBE"/>
    <w:rsid w:val="48A40A59"/>
    <w:rsid w:val="48B169A4"/>
    <w:rsid w:val="4EBB1F7F"/>
    <w:rsid w:val="4ED207A4"/>
    <w:rsid w:val="4F4E4E0F"/>
    <w:rsid w:val="506D7517"/>
    <w:rsid w:val="51182B81"/>
    <w:rsid w:val="51600AAE"/>
    <w:rsid w:val="51B94206"/>
    <w:rsid w:val="52E16FE9"/>
    <w:rsid w:val="53715B54"/>
    <w:rsid w:val="545D54AD"/>
    <w:rsid w:val="546155E5"/>
    <w:rsid w:val="566B3FBB"/>
    <w:rsid w:val="56EB7DD0"/>
    <w:rsid w:val="575C33DA"/>
    <w:rsid w:val="5778409E"/>
    <w:rsid w:val="57F12A0B"/>
    <w:rsid w:val="58B3796A"/>
    <w:rsid w:val="58BB6C55"/>
    <w:rsid w:val="59710889"/>
    <w:rsid w:val="5B7F540C"/>
    <w:rsid w:val="5B9E7E4F"/>
    <w:rsid w:val="5C4E3A5C"/>
    <w:rsid w:val="5C5D732E"/>
    <w:rsid w:val="5CF0641E"/>
    <w:rsid w:val="5DA20508"/>
    <w:rsid w:val="5F1C0E78"/>
    <w:rsid w:val="60EB4E96"/>
    <w:rsid w:val="64102972"/>
    <w:rsid w:val="666378BB"/>
    <w:rsid w:val="678F77CB"/>
    <w:rsid w:val="680C49B6"/>
    <w:rsid w:val="68CB607F"/>
    <w:rsid w:val="694257C5"/>
    <w:rsid w:val="6B347553"/>
    <w:rsid w:val="6DB427D1"/>
    <w:rsid w:val="6DFF3D8D"/>
    <w:rsid w:val="71071781"/>
    <w:rsid w:val="71907681"/>
    <w:rsid w:val="73A42FC8"/>
    <w:rsid w:val="73C618E7"/>
    <w:rsid w:val="73F6620B"/>
    <w:rsid w:val="74E4608A"/>
    <w:rsid w:val="765863F0"/>
    <w:rsid w:val="773278ED"/>
    <w:rsid w:val="77C32449"/>
    <w:rsid w:val="7E63063F"/>
    <w:rsid w:val="7EC9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/>
      <w:b/>
      <w:bCs/>
      <w:kern w:val="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5">
    <w:name w:val="标题 2 字符"/>
    <w:basedOn w:val="9"/>
    <w:link w:val="3"/>
    <w:qFormat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2413</Words>
  <Characters>2688</Characters>
  <Lines>20</Lines>
  <Paragraphs>5</Paragraphs>
  <TotalTime>64</TotalTime>
  <ScaleCrop>false</ScaleCrop>
  <LinksUpToDate>false</LinksUpToDate>
  <CharactersWithSpaces>2748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2025-12-17T00:25:00Z</dcterms:created>
  <dc:creator>yhzhu0318</dc:creator>
  <cp:lastModifiedBy>yhzhu0318</cp:lastModifiedBy>
  <cp:lastPrinted>2021-10-12T06:10:00Z</cp:lastPrinted>
  <dcterms:modified xsi:type="dcterms:W3CDTF">2026-02-26T06:36:33Z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C2F7ADC6E995410B9015DCBD431A113D_13</vt:lpwstr>
  </property>
  <property fmtid="{D5CDD505-2E9C-101B-9397-08002B2CF9AE}" pid="4" name="KSOTemplateDocerSaveRecord">
    <vt:lpwstr>eyJoZGlkIjoiMWEzMTBkODEzMjlhNmYwOWEyYjNiZjI1YjQ4NTZhNGIiLCJ1c2VySWQiOiIyOTg3NTE0MzYifQ==</vt:lpwstr>
  </property>
</Properties>
</file>